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363" w:rsidRDefault="00697363" w:rsidP="00697363">
      <w:r>
        <w:tab/>
        <w:t xml:space="preserve"> </w:t>
      </w:r>
    </w:p>
    <w:p w:rsidR="000C6023" w:rsidRPr="00EF0AF5" w:rsidRDefault="000C6023" w:rsidP="000C602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EF0AF5">
        <w:rPr>
          <w:rFonts w:ascii="Calibri" w:eastAsia="Times New Roman" w:hAnsi="Calibri" w:cs="Times New Roman"/>
          <w:b/>
          <w:bCs/>
          <w:color w:val="000000"/>
          <w:lang w:eastAsia="pl-PL"/>
        </w:rPr>
        <w:t>JEDNODNIOWE SZKOLENIA SPECJALISTYCZNE</w:t>
      </w:r>
    </w:p>
    <w:p w:rsidR="000C6023" w:rsidRPr="00EF0AF5" w:rsidRDefault="000C6023" w:rsidP="000C602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0AF5">
        <w:rPr>
          <w:rFonts w:ascii="Calibri" w:eastAsia="Times New Roman" w:hAnsi="Calibri" w:cs="Times New Roman"/>
          <w:b/>
          <w:bCs/>
          <w:color w:val="000000"/>
          <w:lang w:eastAsia="pl-PL"/>
        </w:rPr>
        <w:t>PROGRAM</w:t>
      </w:r>
    </w:p>
    <w:p w:rsidR="000C6023" w:rsidRPr="00EF0AF5" w:rsidRDefault="0049628A" w:rsidP="000C602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b/>
          <w:color w:val="000000"/>
          <w:lang w:eastAsia="pl-PL"/>
        </w:rPr>
        <w:t xml:space="preserve">Jednodniowe szkolenia specjalistyczne przeznaczone są </w:t>
      </w:r>
      <w:r w:rsidR="000C6023" w:rsidRPr="00EF0AF5">
        <w:rPr>
          <w:rFonts w:ascii="Calibri" w:eastAsia="Times New Roman" w:hAnsi="Calibri" w:cs="Times New Roman"/>
          <w:color w:val="000000"/>
          <w:lang w:eastAsia="pl-PL"/>
        </w:rPr>
        <w:t>dla organizacji wiejskich zainteresowanych pogłębieniem wiedzy specjalistycznej w określonych tematach</w:t>
      </w:r>
    </w:p>
    <w:p w:rsidR="000C6023" w:rsidRPr="00EF0AF5" w:rsidRDefault="000C6023" w:rsidP="000C60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0AF5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Szkolenia są prowadzone przez parę trenerską o dużym doświadczeniu praktycznym w danej dziedzinie, oparte na dyskusji i pracy w grupach.</w:t>
      </w:r>
    </w:p>
    <w:p w:rsidR="000C6023" w:rsidRPr="00EF0AF5" w:rsidRDefault="000C6023" w:rsidP="000C60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C6023" w:rsidRPr="00EF0AF5" w:rsidRDefault="000C6023" w:rsidP="000C60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C6023" w:rsidRDefault="000C6023" w:rsidP="000C6023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EF0AF5">
        <w:rPr>
          <w:rFonts w:ascii="Calibri" w:eastAsia="Times New Roman" w:hAnsi="Calibri" w:cs="Times New Roman"/>
          <w:b/>
          <w:bCs/>
          <w:color w:val="000000"/>
          <w:lang w:eastAsia="pl-PL"/>
        </w:rPr>
        <w:t>Szkolenia obejmują: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 xml:space="preserve"> przegląd aktualnego stanu prawnego (ustawy, rozporządzenia) z zakresu tematyki szkolenia, praktyczne źródła obowiązującej legislacji, katalog dobrych i złych praktyk (do wypracowania w dyskusji z grupą: tzw. </w:t>
      </w:r>
      <w:proofErr w:type="spellStart"/>
      <w:r w:rsidRPr="00EF0AF5">
        <w:rPr>
          <w:rFonts w:ascii="Calibri" w:eastAsia="Times New Roman" w:hAnsi="Calibri" w:cs="Times New Roman"/>
          <w:i/>
          <w:iCs/>
          <w:color w:val="000000"/>
          <w:lang w:eastAsia="pl-PL"/>
        </w:rPr>
        <w:t>case</w:t>
      </w:r>
      <w:proofErr w:type="spellEnd"/>
      <w:r w:rsidRPr="00EF0AF5">
        <w:rPr>
          <w:rFonts w:ascii="Calibri" w:eastAsia="Times New Roman" w:hAnsi="Calibri" w:cs="Times New Roman"/>
          <w:i/>
          <w:iCs/>
          <w:color w:val="000000"/>
          <w:lang w:eastAsia="pl-PL"/>
        </w:rPr>
        <w:t xml:space="preserve"> </w:t>
      </w:r>
      <w:proofErr w:type="spellStart"/>
      <w:r w:rsidRPr="00EF0AF5">
        <w:rPr>
          <w:rFonts w:ascii="Calibri" w:eastAsia="Times New Roman" w:hAnsi="Calibri" w:cs="Times New Roman"/>
          <w:i/>
          <w:iCs/>
          <w:color w:val="000000"/>
          <w:lang w:eastAsia="pl-PL"/>
        </w:rPr>
        <w:t>studies</w:t>
      </w:r>
      <w:proofErr w:type="spellEnd"/>
      <w:r w:rsidRPr="00EF0AF5">
        <w:rPr>
          <w:rFonts w:ascii="Calibri" w:eastAsia="Times New Roman" w:hAnsi="Calibri" w:cs="Times New Roman"/>
          <w:color w:val="000000"/>
          <w:lang w:eastAsia="pl-PL"/>
        </w:rPr>
        <w:t>). Na podstawie pogłębionej wiedzy dot. tematu: wypracowanie propozycji możliwości wpływania przez obywateli na rozwiązania prawne (wnioski płynące z praktyki st</w:t>
      </w:r>
      <w:r>
        <w:rPr>
          <w:rFonts w:ascii="Calibri" w:eastAsia="Times New Roman" w:hAnsi="Calibri" w:cs="Times New Roman"/>
          <w:color w:val="000000"/>
          <w:lang w:eastAsia="pl-PL"/>
        </w:rPr>
        <w:t xml:space="preserve">osowania przyjętych rozwiązań; 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>wykorzystanie posiadanych umiejętności ( w tym nabytych w trakcie szkolenia) w celu wypracowania alternatywnych rozwiązań lub usprawnienia/zmiany już istniejących.</w:t>
      </w:r>
    </w:p>
    <w:p w:rsidR="0049628A" w:rsidRDefault="0049628A" w:rsidP="000C6023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pl-PL"/>
        </w:rPr>
      </w:pPr>
    </w:p>
    <w:p w:rsidR="0049628A" w:rsidRPr="001F04DC" w:rsidRDefault="0049628A" w:rsidP="00496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0AF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l-PL"/>
        </w:rPr>
        <w:t>Tematy szkoleń:</w:t>
      </w:r>
      <w:r w:rsidRPr="00EF0AF5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zagrody edukacyjne,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turystyka na obszarach wiejskich, </w:t>
      </w:r>
      <w:r w:rsidRPr="00EF0AF5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krótkie łańcuchy dostaw, wybrane problemy polityki senioralnej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, </w:t>
      </w:r>
      <w:r>
        <w:rPr>
          <w:rFonts w:eastAsia="Times New Roman" w:cs="Times New Roman"/>
          <w:bCs/>
          <w:color w:val="000000"/>
          <w:lang w:eastAsia="pl-PL"/>
        </w:rPr>
        <w:t>d</w:t>
      </w:r>
      <w:r w:rsidRPr="001F04DC">
        <w:rPr>
          <w:rFonts w:eastAsia="Times New Roman" w:cs="Times New Roman"/>
          <w:bCs/>
          <w:color w:val="000000"/>
          <w:lang w:eastAsia="pl-PL"/>
        </w:rPr>
        <w:t>om i jego otoczenie jako element architektury krajobrazu i ładu przestrzennego.</w:t>
      </w:r>
    </w:p>
    <w:p w:rsidR="0049628A" w:rsidRPr="00EF0AF5" w:rsidRDefault="0049628A" w:rsidP="000C60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C6023" w:rsidRPr="00EF0AF5" w:rsidRDefault="000C6023" w:rsidP="000C60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C6023" w:rsidRPr="00EF0AF5" w:rsidRDefault="000C6023" w:rsidP="000C60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0AF5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Tematy szkoleń:</w:t>
      </w:r>
    </w:p>
    <w:p w:rsidR="000C6023" w:rsidRPr="00EF0AF5" w:rsidRDefault="000C6023" w:rsidP="000C60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C6023" w:rsidRPr="00EF0AF5" w:rsidRDefault="000C6023" w:rsidP="000C6023">
      <w:p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b/>
          <w:bCs/>
          <w:color w:val="000000"/>
          <w:lang w:eastAsia="pl-PL"/>
        </w:rPr>
      </w:pPr>
      <w:r>
        <w:rPr>
          <w:rFonts w:ascii="Calibri" w:eastAsia="Times New Roman" w:hAnsi="Calibri" w:cs="Times New Roman"/>
          <w:b/>
          <w:bCs/>
          <w:color w:val="000000"/>
          <w:lang w:eastAsia="pl-PL"/>
        </w:rPr>
        <w:t xml:space="preserve">1. </w:t>
      </w:r>
      <w:r w:rsidRPr="00EF0AF5">
        <w:rPr>
          <w:rFonts w:ascii="Calibri" w:eastAsia="Times New Roman" w:hAnsi="Calibri" w:cs="Times New Roman"/>
          <w:b/>
          <w:bCs/>
          <w:color w:val="000000"/>
          <w:lang w:eastAsia="pl-PL"/>
        </w:rPr>
        <w:t>Zagroda edukacyjna</w:t>
      </w:r>
      <w:r w:rsidR="0049628A">
        <w:rPr>
          <w:rFonts w:ascii="Calibri" w:eastAsia="Times New Roman" w:hAnsi="Calibri" w:cs="Times New Roman"/>
          <w:b/>
          <w:bCs/>
          <w:color w:val="000000"/>
          <w:lang w:eastAsia="pl-PL"/>
        </w:rPr>
        <w:t>.</w:t>
      </w:r>
      <w:r w:rsidR="00AC5A9D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 xml:space="preserve">Opis celów przedsięwzięcia, kto może prowadzić. Cele zagród: indywidualne programy edukacyjne będące pochodną profilu gospodarstwa i jego właścicieli. Promocja aktywnego  stylu życia i zdrowych nawyków żywieniowych, rozwój postaw </w:t>
      </w:r>
      <w:proofErr w:type="spellStart"/>
      <w:r w:rsidRPr="00EF0AF5">
        <w:rPr>
          <w:rFonts w:ascii="Calibri" w:eastAsia="Times New Roman" w:hAnsi="Calibri" w:cs="Times New Roman"/>
          <w:color w:val="000000"/>
          <w:lang w:eastAsia="pl-PL"/>
        </w:rPr>
        <w:t>prosumenckich</w:t>
      </w:r>
      <w:proofErr w:type="spellEnd"/>
      <w:r w:rsidRPr="00EF0AF5">
        <w:rPr>
          <w:rFonts w:ascii="Calibri" w:eastAsia="Times New Roman" w:hAnsi="Calibri" w:cs="Times New Roman"/>
          <w:color w:val="000000"/>
          <w:lang w:eastAsia="pl-PL"/>
        </w:rPr>
        <w:t xml:space="preserve"> i proekologicznych. Rozwój turystyki krótkoterminowej i zindywidualizowanej </w:t>
      </w:r>
      <w:proofErr w:type="spellStart"/>
      <w:r w:rsidRPr="00EF0AF5">
        <w:rPr>
          <w:rFonts w:ascii="Calibri" w:eastAsia="Times New Roman" w:hAnsi="Calibri" w:cs="Times New Roman"/>
          <w:color w:val="000000"/>
          <w:lang w:eastAsia="pl-PL"/>
        </w:rPr>
        <w:t>vs</w:t>
      </w:r>
      <w:proofErr w:type="spellEnd"/>
      <w:r w:rsidRPr="00EF0AF5">
        <w:rPr>
          <w:rFonts w:ascii="Calibri" w:eastAsia="Times New Roman" w:hAnsi="Calibri" w:cs="Times New Roman"/>
          <w:color w:val="000000"/>
          <w:lang w:eastAsia="pl-PL"/>
        </w:rPr>
        <w:t xml:space="preserve">. tradycyjne formy turystyki edukacyjnej. Modele działania. Budowanie marki (indywidualnej, lokalnej, regionalnej). Rozwój wytwórczości nacechowanej lokalnie i indywidualnie. </w:t>
      </w:r>
    </w:p>
    <w:p w:rsidR="000C6023" w:rsidRPr="00EF0AF5" w:rsidRDefault="000C6023" w:rsidP="000C60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C6023" w:rsidRPr="001F04DC" w:rsidRDefault="000C6023" w:rsidP="001F04DC">
      <w:p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b/>
          <w:bCs/>
          <w:strike/>
          <w:color w:val="000000"/>
          <w:lang w:eastAsia="pl-PL"/>
        </w:rPr>
      </w:pPr>
      <w:r>
        <w:rPr>
          <w:rFonts w:ascii="Calibri" w:eastAsia="Times New Roman" w:hAnsi="Calibri" w:cs="Times New Roman"/>
          <w:b/>
          <w:bCs/>
          <w:color w:val="000000"/>
          <w:lang w:eastAsia="pl-PL"/>
        </w:rPr>
        <w:t xml:space="preserve">2. </w:t>
      </w:r>
      <w:r w:rsidRPr="00EF0AF5">
        <w:rPr>
          <w:rFonts w:ascii="Calibri" w:eastAsia="Times New Roman" w:hAnsi="Calibri" w:cs="Times New Roman"/>
          <w:b/>
          <w:bCs/>
          <w:color w:val="000000"/>
          <w:lang w:eastAsia="pl-PL"/>
        </w:rPr>
        <w:t xml:space="preserve">Turystyka </w:t>
      </w:r>
      <w:r w:rsidR="00671309">
        <w:rPr>
          <w:rFonts w:ascii="Calibri" w:eastAsia="Times New Roman" w:hAnsi="Calibri" w:cs="Times New Roman"/>
          <w:b/>
          <w:bCs/>
          <w:color w:val="000000"/>
          <w:lang w:eastAsia="pl-PL"/>
        </w:rPr>
        <w:t>na obszarach wiejskich</w:t>
      </w:r>
      <w:r w:rsidR="00AC5A9D">
        <w:rPr>
          <w:rFonts w:ascii="Calibri" w:eastAsia="Times New Roman" w:hAnsi="Calibri" w:cs="Times New Roman"/>
          <w:color w:val="000000"/>
          <w:lang w:eastAsia="pl-PL"/>
        </w:rPr>
        <w:t xml:space="preserve">. 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 xml:space="preserve">Idea turystyki wiejskiej oparta jest na wielu elementach, których trzon stanowi społeczność lokalna. Turystyka wiejska determinowana jest walorami danej okolicy, jej dziedzictwa i kultury, wiejskich zajęć i życia na wsi. </w:t>
      </w:r>
      <w:r>
        <w:rPr>
          <w:rFonts w:ascii="Calibri" w:eastAsia="Times New Roman" w:hAnsi="Calibri" w:cs="Times New Roman"/>
          <w:color w:val="000000"/>
          <w:lang w:eastAsia="pl-PL"/>
        </w:rPr>
        <w:t xml:space="preserve">Turystyka 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>jest istotnym elementem różnicowania i wzbogacania działalności gospodarczej na terenach wiejskich, tworzącym nowe miejsca pracy i nowe źródła dochodów poza produkcją rolną.</w:t>
      </w:r>
      <w:r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>Korzyści z rozwoju turystyki dla lokalnej gospodarki wynikają z: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>rozwoju przedsiębiorczości,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>powstawanie nowych miejsc pracy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>zmniejszania bezrobocia</w:t>
      </w:r>
      <w:r>
        <w:rPr>
          <w:rFonts w:ascii="Calibri" w:eastAsia="Times New Roman" w:hAnsi="Calibri" w:cs="Times New Roman"/>
          <w:color w:val="000000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>napływu nowych inwestycji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>dochodów uzyskiwanych z obecności turystów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>Na obszarach wiejskich, które są atrakcyjne turystycznie mieszkańcy rezygnują lub ograniczają swoją działalność w rolnictwie przechodząc do bardziej dochodowego sektora usług turystycznych.</w:t>
      </w:r>
    </w:p>
    <w:p w:rsidR="000C6023" w:rsidRPr="00EF0AF5" w:rsidRDefault="000C6023" w:rsidP="000C60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C6023" w:rsidRPr="00EF0AF5" w:rsidRDefault="000C6023" w:rsidP="001F04DC">
      <w:p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b/>
          <w:bCs/>
          <w:color w:val="000000"/>
          <w:lang w:eastAsia="pl-PL"/>
        </w:rPr>
      </w:pPr>
      <w:r>
        <w:rPr>
          <w:rFonts w:ascii="Calibri" w:eastAsia="Times New Roman" w:hAnsi="Calibri" w:cs="Times New Roman"/>
          <w:b/>
          <w:bCs/>
          <w:color w:val="000000"/>
          <w:lang w:eastAsia="pl-PL"/>
        </w:rPr>
        <w:lastRenderedPageBreak/>
        <w:t xml:space="preserve">3. </w:t>
      </w:r>
      <w:r w:rsidRPr="00EF0AF5">
        <w:rPr>
          <w:rFonts w:ascii="Calibri" w:eastAsia="Times New Roman" w:hAnsi="Calibri" w:cs="Times New Roman"/>
          <w:b/>
          <w:bCs/>
          <w:color w:val="000000"/>
          <w:lang w:eastAsia="pl-PL"/>
        </w:rPr>
        <w:t>Krótkie łańcuchy dostaw</w:t>
      </w:r>
      <w:r w:rsidR="00AC5A9D">
        <w:rPr>
          <w:rFonts w:ascii="Calibri" w:eastAsia="Times New Roman" w:hAnsi="Calibri" w:cs="Times New Roman"/>
          <w:color w:val="000000"/>
          <w:lang w:eastAsia="pl-PL"/>
        </w:rPr>
        <w:t xml:space="preserve">. 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>Nowe tendencje w myśleniu o produkcji rolnej i powiązaniu między producentem a konsumentem. Tendencje globalne, regionalne i lokalne. Nowe modele produkcji i kształtowania rynku. Rozwój krótkich łańcuchów dostaw żywności (bez pośredników między rolnikiem i konsumentem) a kształtowanie postaw konsumenckich i możliwość zwiększenia dochodów indywidualnego producenta. Dobre praktyki w Unii Europejskiej i w Polsce. Sprzedaż bezpośrednia stanowi podstawę dla rozwoju systemów Krótkich Łańcuchów dostaw Żywności (KŁŻ), które mają za zadanie wspierać i organizować zbiorowe działanie rolników i konsumentów aby w ten sposób łączyć producentów żywności z określonego regionu bezpośrednio z konsumentami, którzy poszukują świeżej i smacznej żywności bez chemii i wiadomego pochodzenia. Rozwój systemów KŁZ jest dzisiaj priorytetem w programach rozwoju wsi i rolnictwa w całej Unii Europejskiej oraz ważnym elementem rozwoju lokalnych rynków rolnych.</w:t>
      </w:r>
    </w:p>
    <w:p w:rsidR="000C6023" w:rsidRPr="00EF0AF5" w:rsidRDefault="000C6023" w:rsidP="000C60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C6023" w:rsidRPr="00EF0AF5" w:rsidRDefault="000C6023" w:rsidP="000C6023">
      <w:p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b/>
          <w:bCs/>
          <w:color w:val="000000"/>
          <w:lang w:eastAsia="pl-PL"/>
        </w:rPr>
      </w:pPr>
      <w:r>
        <w:rPr>
          <w:rFonts w:ascii="Calibri" w:eastAsia="Times New Roman" w:hAnsi="Calibri" w:cs="Times New Roman"/>
          <w:b/>
          <w:bCs/>
          <w:color w:val="000000"/>
          <w:lang w:eastAsia="pl-PL"/>
        </w:rPr>
        <w:t xml:space="preserve">4. </w:t>
      </w:r>
      <w:r w:rsidRPr="00EF0AF5">
        <w:rPr>
          <w:rFonts w:ascii="Calibri" w:eastAsia="Times New Roman" w:hAnsi="Calibri" w:cs="Times New Roman"/>
          <w:b/>
          <w:bCs/>
          <w:color w:val="000000"/>
          <w:lang w:eastAsia="pl-PL"/>
        </w:rPr>
        <w:t xml:space="preserve">Polityka senioralna. </w:t>
      </w:r>
      <w:r w:rsidRPr="00EF0AF5">
        <w:rPr>
          <w:rFonts w:ascii="Calibri" w:eastAsia="Times New Roman" w:hAnsi="Calibri" w:cs="Times New Roman"/>
          <w:color w:val="000000"/>
          <w:lang w:eastAsia="pl-PL"/>
        </w:rPr>
        <w:t xml:space="preserve">Przegląd aktualnej polityki i strategii rządowej, w tym programu „Polityka społeczna wobec osób starszych 2030. Bezpieczeństwo. Uczestnictwo. Solidarność"  (styczeń 2019). Problemy ludzi starszych w społecznościach wiejskich. Gmina wobec nowych wyzwań (m.in. erozja „dużej rodziny”, wydłużanie średniej wieku, problem form i możliwości organizacyjnych opieki). Identyfikacja problemów w skali lokalnej. Jakie modele aktywności i aktywizacji. Przykłady dobrych praktyk. Strategie senioralne i Gminne Rady Senioralne. </w:t>
      </w:r>
    </w:p>
    <w:p w:rsidR="000C6023" w:rsidRPr="00EF0AF5" w:rsidRDefault="000C6023" w:rsidP="000C60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C6023" w:rsidRPr="006D0267" w:rsidRDefault="000C6023" w:rsidP="000C6023">
      <w:pPr>
        <w:spacing w:after="0" w:line="240" w:lineRule="auto"/>
        <w:jc w:val="both"/>
        <w:textAlignment w:val="baseline"/>
        <w:rPr>
          <w:rFonts w:eastAsia="Times New Roman" w:cs="Times New Roman"/>
          <w:b/>
          <w:bCs/>
          <w:color w:val="000000"/>
          <w:lang w:eastAsia="pl-PL"/>
        </w:rPr>
      </w:pPr>
      <w:r>
        <w:rPr>
          <w:rFonts w:ascii="Calibri" w:eastAsia="Times New Roman" w:hAnsi="Calibri" w:cs="Times New Roman"/>
          <w:b/>
          <w:bCs/>
          <w:color w:val="000000"/>
          <w:lang w:eastAsia="pl-PL"/>
        </w:rPr>
        <w:t xml:space="preserve">5. </w:t>
      </w:r>
      <w:r w:rsidRPr="00EF0AF5">
        <w:rPr>
          <w:rFonts w:eastAsia="Times New Roman" w:cs="Times New Roman"/>
          <w:b/>
          <w:bCs/>
          <w:color w:val="000000"/>
          <w:lang w:eastAsia="pl-PL"/>
        </w:rPr>
        <w:t xml:space="preserve">Dom i jego otoczenie jako element architektury krajobrazu </w:t>
      </w:r>
      <w:r w:rsidRPr="001F04DC">
        <w:rPr>
          <w:rFonts w:eastAsia="Times New Roman" w:cs="Times New Roman"/>
          <w:b/>
          <w:bCs/>
          <w:color w:val="000000"/>
          <w:lang w:eastAsia="pl-PL"/>
        </w:rPr>
        <w:t>i ładu przestrzennego</w:t>
      </w:r>
      <w:r w:rsidR="00AC5A9D" w:rsidRPr="00EF0AF5">
        <w:rPr>
          <w:rFonts w:ascii="Calibri" w:eastAsia="Times New Roman" w:hAnsi="Calibri" w:cs="Times New Roman"/>
          <w:b/>
          <w:bCs/>
          <w:color w:val="000000"/>
          <w:lang w:eastAsia="pl-PL"/>
        </w:rPr>
        <w:t xml:space="preserve">. </w:t>
      </w:r>
      <w:r w:rsidR="00AC5A9D">
        <w:rPr>
          <w:rFonts w:eastAsia="Times New Roman" w:cs="Times New Roman"/>
          <w:b/>
          <w:bCs/>
          <w:color w:val="000000"/>
          <w:lang w:eastAsia="pl-PL"/>
        </w:rPr>
        <w:t xml:space="preserve"> G</w:t>
      </w:r>
      <w:r w:rsidRPr="001F04DC">
        <w:rPr>
          <w:rFonts w:eastAsia="Times New Roman" w:cs="Times New Roman"/>
          <w:color w:val="000000"/>
          <w:lang w:eastAsia="pl-PL"/>
        </w:rPr>
        <w:t>ospodarka przestrzenna i modernizacja polskiej wsi.</w:t>
      </w:r>
      <w:r w:rsidRPr="00EF0AF5">
        <w:rPr>
          <w:rFonts w:eastAsia="Times New Roman" w:cs="Times New Roman"/>
          <w:color w:val="000000"/>
          <w:lang w:eastAsia="pl-PL"/>
        </w:rPr>
        <w:t xml:space="preserve"> Architektura krajobrazu jest dyscypliną związaną z kształtowaniem życiowej przestrzeni człowieka za pomocą szaty </w:t>
      </w:r>
      <w:hyperlink r:id="rId8" w:history="1">
        <w:r w:rsidRPr="006D0267">
          <w:rPr>
            <w:rFonts w:eastAsia="Times New Roman" w:cs="Times New Roman"/>
            <w:color w:val="000000"/>
            <w:lang w:eastAsia="pl-PL"/>
          </w:rPr>
          <w:t>roślinnej</w:t>
        </w:r>
      </w:hyperlink>
      <w:r w:rsidRPr="00EF0AF5">
        <w:rPr>
          <w:rFonts w:eastAsia="Times New Roman" w:cs="Times New Roman"/>
          <w:color w:val="000000"/>
          <w:lang w:eastAsia="pl-PL"/>
        </w:rPr>
        <w:t xml:space="preserve">, elementów </w:t>
      </w:r>
      <w:hyperlink r:id="rId9" w:history="1">
        <w:r w:rsidRPr="006D0267">
          <w:rPr>
            <w:rFonts w:eastAsia="Times New Roman" w:cs="Times New Roman"/>
            <w:color w:val="000000"/>
            <w:lang w:eastAsia="pl-PL"/>
          </w:rPr>
          <w:t>wodnych</w:t>
        </w:r>
      </w:hyperlink>
      <w:r w:rsidRPr="00EF0AF5">
        <w:rPr>
          <w:rFonts w:eastAsia="Times New Roman" w:cs="Times New Roman"/>
          <w:color w:val="000000"/>
          <w:lang w:eastAsia="pl-PL"/>
        </w:rPr>
        <w:t xml:space="preserve"> i </w:t>
      </w:r>
      <w:hyperlink r:id="rId10" w:history="1">
        <w:r w:rsidRPr="006D0267">
          <w:rPr>
            <w:rFonts w:eastAsia="Times New Roman" w:cs="Times New Roman"/>
            <w:color w:val="000000"/>
            <w:lang w:eastAsia="pl-PL"/>
          </w:rPr>
          <w:t>architektonicznych</w:t>
        </w:r>
      </w:hyperlink>
      <w:r w:rsidRPr="00EF0AF5">
        <w:rPr>
          <w:rFonts w:eastAsia="Times New Roman" w:cs="Times New Roman"/>
          <w:color w:val="000000"/>
          <w:lang w:eastAsia="pl-PL"/>
        </w:rPr>
        <w:t xml:space="preserve"> oraz z uwzględnieniem rozmaitych czynników, które tworzą charakter otaczającego </w:t>
      </w:r>
      <w:hyperlink r:id="rId11" w:history="1">
        <w:r w:rsidRPr="006D0267">
          <w:rPr>
            <w:rFonts w:eastAsia="Times New Roman" w:cs="Times New Roman"/>
            <w:color w:val="000000"/>
            <w:lang w:eastAsia="pl-PL"/>
          </w:rPr>
          <w:t>krajobrazu</w:t>
        </w:r>
      </w:hyperlink>
      <w:r w:rsidRPr="00EF0AF5">
        <w:rPr>
          <w:rFonts w:eastAsia="Times New Roman" w:cs="Times New Roman"/>
          <w:color w:val="000000"/>
          <w:lang w:eastAsia="pl-PL"/>
        </w:rPr>
        <w:t xml:space="preserve">. Są to uwarunkowania naturalne, takie jak: rzeźba terenu, istniejąca roślinność, </w:t>
      </w:r>
      <w:hyperlink r:id="rId12" w:history="1">
        <w:r w:rsidRPr="006D0267">
          <w:rPr>
            <w:rFonts w:eastAsia="Times New Roman" w:cs="Times New Roman"/>
            <w:color w:val="000000"/>
            <w:lang w:eastAsia="pl-PL"/>
          </w:rPr>
          <w:t>gleba</w:t>
        </w:r>
      </w:hyperlink>
      <w:r w:rsidRPr="00EF0AF5">
        <w:rPr>
          <w:rFonts w:eastAsia="Times New Roman" w:cs="Times New Roman"/>
          <w:color w:val="000000"/>
          <w:lang w:eastAsia="pl-PL"/>
        </w:rPr>
        <w:t xml:space="preserve">, </w:t>
      </w:r>
      <w:hyperlink r:id="rId13" w:history="1">
        <w:r w:rsidRPr="006D0267">
          <w:rPr>
            <w:rFonts w:eastAsia="Times New Roman" w:cs="Times New Roman"/>
            <w:color w:val="000000"/>
            <w:lang w:eastAsia="pl-PL"/>
          </w:rPr>
          <w:t>klimat</w:t>
        </w:r>
      </w:hyperlink>
      <w:r w:rsidRPr="00EF0AF5">
        <w:rPr>
          <w:rFonts w:eastAsia="Times New Roman" w:cs="Times New Roman"/>
          <w:color w:val="000000"/>
          <w:lang w:eastAsia="pl-PL"/>
        </w:rPr>
        <w:t>, a także kultura regionu i miejscowe tradycje czy też potrzeby społeczne.</w:t>
      </w:r>
      <w:r w:rsidRPr="006D0267">
        <w:rPr>
          <w:rFonts w:eastAsia="Times New Roman" w:cs="Times New Roman"/>
          <w:color w:val="000000"/>
          <w:lang w:eastAsia="pl-PL"/>
        </w:rPr>
        <w:t xml:space="preserve"> </w:t>
      </w:r>
      <w:r w:rsidRPr="001F04DC">
        <w:rPr>
          <w:rFonts w:eastAsia="Times New Roman" w:cs="Times New Roman"/>
          <w:lang w:eastAsia="pl-PL"/>
        </w:rPr>
        <w:t xml:space="preserve">Przegląd problematyki </w:t>
      </w:r>
      <w:r w:rsidRPr="001F04DC">
        <w:t>uwarunkowań prawnych realizacji planów urządzeniowo-rolnych gmin i projektów urządzeniowo-rolnych wsi, celowości oraz procedury ich sporządzania, zakresu tematycznego a także związków planowania urządzeniowo-rolnego z planem miejscowym. Udział społeczności lokalnych.</w:t>
      </w:r>
    </w:p>
    <w:p w:rsidR="000C6023" w:rsidRDefault="000C6023" w:rsidP="000C60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866B3" w:rsidRPr="00CF7690" w:rsidRDefault="00D81040" w:rsidP="00D81040">
      <w:pPr>
        <w:spacing w:line="240" w:lineRule="auto"/>
        <w:jc w:val="both"/>
      </w:pPr>
      <w:r w:rsidRPr="00D81040">
        <w:t>Projekt "Organizacje wiejskie w procesie stanowienia prawa", jest dofinansowany przez Unię Europejską ze środków Europejskiego Funduszu Społecznego w ramach Programu Operacyjnego Wiedza Edukacja Rozwój 2014–2020, umowa nr POWR.02.16.00-00-0047/16-00. Projekt jest powadzony przez FORUM Organizacji Obszarów Wiejskich (FAOW – lider projektu) oraz Instytut Rozwoju Wsi i Rolnictwa Polskiej Akademii Nauk (</w:t>
      </w:r>
      <w:proofErr w:type="spellStart"/>
      <w:r w:rsidRPr="00D81040">
        <w:t>IRWiR</w:t>
      </w:r>
      <w:proofErr w:type="spellEnd"/>
      <w:r w:rsidRPr="00D81040">
        <w:t xml:space="preserve"> PAN – partner projektu).</w:t>
      </w:r>
    </w:p>
    <w:sectPr w:rsidR="004866B3" w:rsidRPr="00CF7690" w:rsidSect="000D26C8">
      <w:headerReference w:type="default" r:id="rId14"/>
      <w:footerReference w:type="default" r:id="rId15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375" w:rsidRDefault="00283375" w:rsidP="0077562D">
      <w:pPr>
        <w:spacing w:after="0" w:line="240" w:lineRule="auto"/>
      </w:pPr>
      <w:r>
        <w:separator/>
      </w:r>
    </w:p>
  </w:endnote>
  <w:endnote w:type="continuationSeparator" w:id="0">
    <w:p w:rsidR="00283375" w:rsidRDefault="00283375" w:rsidP="0077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Borders>
        <w:top w:val="single" w:sz="4" w:space="0" w:color="17365D" w:themeColor="text2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695"/>
      <w:gridCol w:w="1807"/>
      <w:gridCol w:w="3786"/>
    </w:tblGrid>
    <w:tr w:rsidR="0091720F" w:rsidTr="00196F7D">
      <w:tc>
        <w:tcPr>
          <w:tcW w:w="3695" w:type="dxa"/>
          <w:vAlign w:val="center"/>
        </w:tcPr>
        <w:p w:rsidR="0091720F" w:rsidRDefault="00743C0D" w:rsidP="00800141">
          <w:pPr>
            <w:rPr>
              <w:noProof/>
              <w:sz w:val="16"/>
            </w:rPr>
          </w:pPr>
          <w:r>
            <w:rPr>
              <w:noProof/>
              <w:sz w:val="16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-53975</wp:posOffset>
                </wp:positionH>
                <wp:positionV relativeFrom="paragraph">
                  <wp:posOffset>200660</wp:posOffset>
                </wp:positionV>
                <wp:extent cx="1504950" cy="457200"/>
                <wp:effectExtent l="19050" t="0" r="0" b="0"/>
                <wp:wrapThrough wrapText="bothSides">
                  <wp:wrapPolygon edited="0">
                    <wp:start x="-273" y="0"/>
                    <wp:lineTo x="-273" y="20700"/>
                    <wp:lineTo x="21600" y="20700"/>
                    <wp:lineTo x="21600" y="0"/>
                    <wp:lineTo x="-273" y="0"/>
                  </wp:wrapPolygon>
                </wp:wrapThrough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91720F" w:rsidRDefault="0091720F" w:rsidP="00800141">
          <w:pPr>
            <w:rPr>
              <w:noProof/>
              <w:sz w:val="16"/>
            </w:rPr>
          </w:pPr>
        </w:p>
        <w:p w:rsidR="0091720F" w:rsidRDefault="0091720F" w:rsidP="00800141">
          <w:pPr>
            <w:rPr>
              <w:noProof/>
              <w:sz w:val="16"/>
            </w:rPr>
          </w:pPr>
          <w:r>
            <w:rPr>
              <w:noProof/>
              <w:sz w:val="16"/>
            </w:rPr>
            <w:t xml:space="preserve">                       </w:t>
          </w:r>
        </w:p>
      </w:tc>
      <w:tc>
        <w:tcPr>
          <w:tcW w:w="1807" w:type="dxa"/>
          <w:vAlign w:val="center"/>
        </w:tcPr>
        <w:p w:rsidR="0091720F" w:rsidRDefault="00743C0D" w:rsidP="00800141"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61595</wp:posOffset>
                </wp:positionV>
                <wp:extent cx="781050" cy="590550"/>
                <wp:effectExtent l="19050" t="0" r="0" b="0"/>
                <wp:wrapNone/>
                <wp:docPr id="5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WWPSP-01 małe-0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05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91720F" w:rsidRDefault="0091720F" w:rsidP="00800141">
          <w:pPr>
            <w:jc w:val="center"/>
          </w:pPr>
        </w:p>
      </w:tc>
      <w:tc>
        <w:tcPr>
          <w:tcW w:w="3786" w:type="dxa"/>
          <w:vAlign w:val="center"/>
        </w:tcPr>
        <w:p w:rsidR="0091720F" w:rsidRDefault="0091720F" w:rsidP="00800141">
          <w:r>
            <w:t xml:space="preserve">         </w:t>
          </w:r>
          <w:r w:rsidR="00985A06">
            <w:rPr>
              <w:noProof/>
            </w:rPr>
            <w:drawing>
              <wp:inline distT="0" distB="0" distL="0" distR="0">
                <wp:extent cx="2238375" cy="383493"/>
                <wp:effectExtent l="19050" t="0" r="9525" b="0"/>
                <wp:docPr id="1" name="Obraz 0" descr="IRWI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RWIR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38375" cy="383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91720F" w:rsidTr="00196F7D">
      <w:tc>
        <w:tcPr>
          <w:tcW w:w="3695" w:type="dxa"/>
          <w:vAlign w:val="center"/>
        </w:tcPr>
        <w:p w:rsidR="0091720F" w:rsidRDefault="0091720F" w:rsidP="00800141">
          <w:pPr>
            <w:rPr>
              <w:noProof/>
              <w:sz w:val="16"/>
              <w:lang w:val="en-US" w:eastAsia="en-US"/>
            </w:rPr>
          </w:pPr>
        </w:p>
        <w:p w:rsidR="0091720F" w:rsidRDefault="0091720F" w:rsidP="00800141">
          <w:pPr>
            <w:rPr>
              <w:noProof/>
              <w:sz w:val="16"/>
              <w:lang w:val="en-US" w:eastAsia="en-US"/>
            </w:rPr>
          </w:pPr>
        </w:p>
      </w:tc>
      <w:tc>
        <w:tcPr>
          <w:tcW w:w="1807" w:type="dxa"/>
          <w:vAlign w:val="center"/>
        </w:tcPr>
        <w:p w:rsidR="0091720F" w:rsidRDefault="0091720F" w:rsidP="00800141"/>
      </w:tc>
      <w:tc>
        <w:tcPr>
          <w:tcW w:w="3786" w:type="dxa"/>
          <w:vAlign w:val="center"/>
        </w:tcPr>
        <w:p w:rsidR="0091720F" w:rsidRDefault="0091720F" w:rsidP="00800141">
          <w:pPr>
            <w:jc w:val="center"/>
            <w:rPr>
              <w:noProof/>
              <w:lang w:val="en-US" w:eastAsia="en-US"/>
            </w:rPr>
          </w:pPr>
        </w:p>
      </w:tc>
    </w:tr>
  </w:tbl>
  <w:p w:rsidR="00196F7D" w:rsidRPr="00E85F0A" w:rsidRDefault="00196F7D" w:rsidP="00196F7D">
    <w:pPr>
      <w:spacing w:after="0"/>
      <w:ind w:left="360"/>
    </w:pPr>
    <w:r w:rsidRPr="00E85F0A">
      <w:rPr>
        <w:rFonts w:cs="Helvetica"/>
        <w:color w:val="000000"/>
      </w:rPr>
      <w:t>Organizacje wiejskie w procesie stanowienia prawa POWR.02.16.00-00-0047/16-00</w:t>
    </w:r>
  </w:p>
  <w:p w:rsidR="0077562D" w:rsidRDefault="0077562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375" w:rsidRDefault="00283375" w:rsidP="0077562D">
      <w:pPr>
        <w:spacing w:after="0" w:line="240" w:lineRule="auto"/>
      </w:pPr>
      <w:r>
        <w:separator/>
      </w:r>
    </w:p>
  </w:footnote>
  <w:footnote w:type="continuationSeparator" w:id="0">
    <w:p w:rsidR="00283375" w:rsidRDefault="00283375" w:rsidP="00775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62D" w:rsidRPr="000D26C8" w:rsidRDefault="00D64113" w:rsidP="000D26C8">
    <w:pPr>
      <w:pStyle w:val="Nagwek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a UE" style="width:24pt;height:24pt"/>
      </w:pict>
    </w:r>
    <w:r>
      <w:pict>
        <v:shape id="_x0000_i1026" type="#_x0000_t75" alt="" style="width:24pt;height:24pt"/>
      </w:pict>
    </w:r>
    <w:r w:rsidR="000D26C8" w:rsidRPr="000D26C8">
      <w:rPr>
        <w:noProof/>
        <w:lang w:eastAsia="pl-PL"/>
      </w:rPr>
      <w:drawing>
        <wp:inline distT="0" distB="0" distL="0" distR="0">
          <wp:extent cx="5760720" cy="598727"/>
          <wp:effectExtent l="1905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872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1383"/>
    <w:multiLevelType w:val="hybridMultilevel"/>
    <w:tmpl w:val="70AAB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D6AD1"/>
    <w:multiLevelType w:val="hybridMultilevel"/>
    <w:tmpl w:val="F4866E6E"/>
    <w:lvl w:ilvl="0" w:tplc="EC064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C45DF"/>
    <w:multiLevelType w:val="hybridMultilevel"/>
    <w:tmpl w:val="A0C66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22ABA"/>
    <w:multiLevelType w:val="hybridMultilevel"/>
    <w:tmpl w:val="3072CF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4173F"/>
    <w:multiLevelType w:val="hybridMultilevel"/>
    <w:tmpl w:val="06E6E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8803C3"/>
    <w:multiLevelType w:val="hybridMultilevel"/>
    <w:tmpl w:val="0616FE02"/>
    <w:lvl w:ilvl="0" w:tplc="45F086F2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6295A"/>
    <w:multiLevelType w:val="hybridMultilevel"/>
    <w:tmpl w:val="2E92F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874ED9"/>
    <w:multiLevelType w:val="hybridMultilevel"/>
    <w:tmpl w:val="582889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0E72A1"/>
    <w:multiLevelType w:val="hybridMultilevel"/>
    <w:tmpl w:val="AF6443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FF02DA"/>
    <w:multiLevelType w:val="hybridMultilevel"/>
    <w:tmpl w:val="20C0C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C4D92"/>
    <w:multiLevelType w:val="hybridMultilevel"/>
    <w:tmpl w:val="60922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6B5EBE"/>
    <w:multiLevelType w:val="hybridMultilevel"/>
    <w:tmpl w:val="C930E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1959F6"/>
    <w:multiLevelType w:val="hybridMultilevel"/>
    <w:tmpl w:val="F18C0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866F2"/>
    <w:multiLevelType w:val="hybridMultilevel"/>
    <w:tmpl w:val="434E80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2E0B84"/>
    <w:multiLevelType w:val="hybridMultilevel"/>
    <w:tmpl w:val="E16A3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C47C84"/>
    <w:multiLevelType w:val="hybridMultilevel"/>
    <w:tmpl w:val="43741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D52ACE"/>
    <w:multiLevelType w:val="hybridMultilevel"/>
    <w:tmpl w:val="9FC02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B257C9"/>
    <w:multiLevelType w:val="hybridMultilevel"/>
    <w:tmpl w:val="2A6E29A0"/>
    <w:lvl w:ilvl="0" w:tplc="0B203EF8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54569F"/>
    <w:multiLevelType w:val="hybridMultilevel"/>
    <w:tmpl w:val="AA8AE49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4"/>
  </w:num>
  <w:num w:numId="5">
    <w:abstractNumId w:val="15"/>
  </w:num>
  <w:num w:numId="6">
    <w:abstractNumId w:val="9"/>
  </w:num>
  <w:num w:numId="7">
    <w:abstractNumId w:val="3"/>
  </w:num>
  <w:num w:numId="8">
    <w:abstractNumId w:val="2"/>
  </w:num>
  <w:num w:numId="9">
    <w:abstractNumId w:val="4"/>
  </w:num>
  <w:num w:numId="10">
    <w:abstractNumId w:val="11"/>
  </w:num>
  <w:num w:numId="11">
    <w:abstractNumId w:val="10"/>
  </w:num>
  <w:num w:numId="12">
    <w:abstractNumId w:val="16"/>
  </w:num>
  <w:num w:numId="13">
    <w:abstractNumId w:val="6"/>
  </w:num>
  <w:num w:numId="14">
    <w:abstractNumId w:val="18"/>
  </w:num>
  <w:num w:numId="15">
    <w:abstractNumId w:val="1"/>
  </w:num>
  <w:num w:numId="16">
    <w:abstractNumId w:val="5"/>
  </w:num>
  <w:num w:numId="17">
    <w:abstractNumId w:val="7"/>
  </w:num>
  <w:num w:numId="18">
    <w:abstractNumId w:val="17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472A17"/>
    <w:rsid w:val="00056337"/>
    <w:rsid w:val="00090389"/>
    <w:rsid w:val="00096263"/>
    <w:rsid w:val="000A5086"/>
    <w:rsid w:val="000C6023"/>
    <w:rsid w:val="000D26C8"/>
    <w:rsid w:val="000E2AAB"/>
    <w:rsid w:val="00116B80"/>
    <w:rsid w:val="00137719"/>
    <w:rsid w:val="0014249E"/>
    <w:rsid w:val="0014737B"/>
    <w:rsid w:val="00152A94"/>
    <w:rsid w:val="00161857"/>
    <w:rsid w:val="00165C35"/>
    <w:rsid w:val="00186C00"/>
    <w:rsid w:val="00196F7D"/>
    <w:rsid w:val="001E0EB4"/>
    <w:rsid w:val="001E3EF3"/>
    <w:rsid w:val="001F04DC"/>
    <w:rsid w:val="001F62FF"/>
    <w:rsid w:val="0022376D"/>
    <w:rsid w:val="00231E90"/>
    <w:rsid w:val="00240189"/>
    <w:rsid w:val="00244D74"/>
    <w:rsid w:val="0025416B"/>
    <w:rsid w:val="00273630"/>
    <w:rsid w:val="002779A5"/>
    <w:rsid w:val="00283375"/>
    <w:rsid w:val="002962F8"/>
    <w:rsid w:val="002B771B"/>
    <w:rsid w:val="002D4908"/>
    <w:rsid w:val="0030425B"/>
    <w:rsid w:val="00313BB7"/>
    <w:rsid w:val="0034126F"/>
    <w:rsid w:val="003443C4"/>
    <w:rsid w:val="003452D6"/>
    <w:rsid w:val="00367A94"/>
    <w:rsid w:val="0037734C"/>
    <w:rsid w:val="0039414B"/>
    <w:rsid w:val="003A658B"/>
    <w:rsid w:val="003A6CEC"/>
    <w:rsid w:val="003A74D5"/>
    <w:rsid w:val="003E743C"/>
    <w:rsid w:val="003F5512"/>
    <w:rsid w:val="003F7205"/>
    <w:rsid w:val="004664C7"/>
    <w:rsid w:val="00472A17"/>
    <w:rsid w:val="004741CF"/>
    <w:rsid w:val="00495E59"/>
    <w:rsid w:val="0049628A"/>
    <w:rsid w:val="004976F1"/>
    <w:rsid w:val="004A01DA"/>
    <w:rsid w:val="004C360D"/>
    <w:rsid w:val="004C41A4"/>
    <w:rsid w:val="004D3F6C"/>
    <w:rsid w:val="004D49F1"/>
    <w:rsid w:val="004F319B"/>
    <w:rsid w:val="00527522"/>
    <w:rsid w:val="005A1706"/>
    <w:rsid w:val="005D3E3A"/>
    <w:rsid w:val="006021F9"/>
    <w:rsid w:val="006057DA"/>
    <w:rsid w:val="00621791"/>
    <w:rsid w:val="0062561C"/>
    <w:rsid w:val="0066632F"/>
    <w:rsid w:val="00671309"/>
    <w:rsid w:val="00683D59"/>
    <w:rsid w:val="00697363"/>
    <w:rsid w:val="006A1607"/>
    <w:rsid w:val="006D2506"/>
    <w:rsid w:val="006D272E"/>
    <w:rsid w:val="006D6890"/>
    <w:rsid w:val="006E5696"/>
    <w:rsid w:val="006F13EC"/>
    <w:rsid w:val="00706D86"/>
    <w:rsid w:val="0070731C"/>
    <w:rsid w:val="0072727E"/>
    <w:rsid w:val="00743C0D"/>
    <w:rsid w:val="00764D05"/>
    <w:rsid w:val="0077562D"/>
    <w:rsid w:val="00777A66"/>
    <w:rsid w:val="007A5B70"/>
    <w:rsid w:val="007A5C9C"/>
    <w:rsid w:val="007D3882"/>
    <w:rsid w:val="007F01D8"/>
    <w:rsid w:val="0082287C"/>
    <w:rsid w:val="008253FE"/>
    <w:rsid w:val="00840D0E"/>
    <w:rsid w:val="0084574C"/>
    <w:rsid w:val="00853182"/>
    <w:rsid w:val="008A2628"/>
    <w:rsid w:val="008B127B"/>
    <w:rsid w:val="008B1BC1"/>
    <w:rsid w:val="008B3413"/>
    <w:rsid w:val="008B5E6E"/>
    <w:rsid w:val="008F0EDD"/>
    <w:rsid w:val="008F3996"/>
    <w:rsid w:val="00902B63"/>
    <w:rsid w:val="0091720F"/>
    <w:rsid w:val="00966E7B"/>
    <w:rsid w:val="00971956"/>
    <w:rsid w:val="0097780D"/>
    <w:rsid w:val="00985A06"/>
    <w:rsid w:val="00A00B9F"/>
    <w:rsid w:val="00A17060"/>
    <w:rsid w:val="00A2408B"/>
    <w:rsid w:val="00A25D14"/>
    <w:rsid w:val="00A31A38"/>
    <w:rsid w:val="00A361BF"/>
    <w:rsid w:val="00A6350C"/>
    <w:rsid w:val="00A72576"/>
    <w:rsid w:val="00A94AA6"/>
    <w:rsid w:val="00AC5A9D"/>
    <w:rsid w:val="00B00045"/>
    <w:rsid w:val="00B05C1C"/>
    <w:rsid w:val="00B10163"/>
    <w:rsid w:val="00B147B8"/>
    <w:rsid w:val="00B17424"/>
    <w:rsid w:val="00B23CCD"/>
    <w:rsid w:val="00B60E28"/>
    <w:rsid w:val="00B64FB2"/>
    <w:rsid w:val="00B665D1"/>
    <w:rsid w:val="00B84DF4"/>
    <w:rsid w:val="00B92976"/>
    <w:rsid w:val="00BB7B02"/>
    <w:rsid w:val="00BC2D80"/>
    <w:rsid w:val="00BF18C1"/>
    <w:rsid w:val="00C0670B"/>
    <w:rsid w:val="00C50C01"/>
    <w:rsid w:val="00C76ACA"/>
    <w:rsid w:val="00CC5719"/>
    <w:rsid w:val="00CF3F2E"/>
    <w:rsid w:val="00CF60D7"/>
    <w:rsid w:val="00CF7690"/>
    <w:rsid w:val="00D21596"/>
    <w:rsid w:val="00D32696"/>
    <w:rsid w:val="00D628D9"/>
    <w:rsid w:val="00D64113"/>
    <w:rsid w:val="00D81040"/>
    <w:rsid w:val="00D86602"/>
    <w:rsid w:val="00DC35A7"/>
    <w:rsid w:val="00E24D0D"/>
    <w:rsid w:val="00E31F3B"/>
    <w:rsid w:val="00E5062B"/>
    <w:rsid w:val="00E510E2"/>
    <w:rsid w:val="00E85F0A"/>
    <w:rsid w:val="00ED4E55"/>
    <w:rsid w:val="00ED761B"/>
    <w:rsid w:val="00EF0601"/>
    <w:rsid w:val="00EF1519"/>
    <w:rsid w:val="00F05DDF"/>
    <w:rsid w:val="00F07DB6"/>
    <w:rsid w:val="00F26118"/>
    <w:rsid w:val="00F337E0"/>
    <w:rsid w:val="00F60806"/>
    <w:rsid w:val="00F84BC8"/>
    <w:rsid w:val="00F86AC8"/>
    <w:rsid w:val="00FD3B85"/>
    <w:rsid w:val="00FE0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7363"/>
  </w:style>
  <w:style w:type="paragraph" w:styleId="Nagwek3">
    <w:name w:val="heading 3"/>
    <w:basedOn w:val="Normalny"/>
    <w:link w:val="Nagwek3Znak"/>
    <w:uiPriority w:val="9"/>
    <w:qFormat/>
    <w:rsid w:val="006973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72A17"/>
    <w:rPr>
      <w:color w:val="0000FF"/>
      <w:u w:val="single"/>
    </w:rPr>
  </w:style>
  <w:style w:type="character" w:customStyle="1" w:styleId="sig">
    <w:name w:val="sig"/>
    <w:basedOn w:val="Domylnaczcionkaakapitu"/>
    <w:rsid w:val="00472A17"/>
  </w:style>
  <w:style w:type="paragraph" w:styleId="Akapitzlist">
    <w:name w:val="List Paragraph"/>
    <w:basedOn w:val="Normalny"/>
    <w:uiPriority w:val="34"/>
    <w:qFormat/>
    <w:rsid w:val="00B10163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CF3F2E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75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62D"/>
  </w:style>
  <w:style w:type="paragraph" w:styleId="Stopka">
    <w:name w:val="footer"/>
    <w:basedOn w:val="Normalny"/>
    <w:link w:val="StopkaZnak"/>
    <w:uiPriority w:val="99"/>
    <w:unhideWhenUsed/>
    <w:rsid w:val="00775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62D"/>
  </w:style>
  <w:style w:type="table" w:styleId="Tabela-Siatka">
    <w:name w:val="Table Grid"/>
    <w:basedOn w:val="Standardowy"/>
    <w:uiPriority w:val="59"/>
    <w:rsid w:val="0077562D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17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720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6A1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147B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69736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Ro%C5%9Bliny" TargetMode="External"/><Relationship Id="rId13" Type="http://schemas.openxmlformats.org/officeDocument/2006/relationships/hyperlink" Target="https://pl.wikipedia.org/wiki/Klim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.wikipedia.org/wiki/Gleb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.wikipedia.org/wiki/Krajobra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pl.wikipedia.org/wiki/Architektur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.wikipedia.org/wiki/Woda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E9224-52F3-41D3-86B6-423C2BE28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810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FAOW 01</dc:creator>
  <cp:lastModifiedBy>FAOW 01</cp:lastModifiedBy>
  <cp:revision>3</cp:revision>
  <cp:lastPrinted>2018-09-10T12:12:00Z</cp:lastPrinted>
  <dcterms:created xsi:type="dcterms:W3CDTF">2019-02-04T13:09:00Z</dcterms:created>
  <dcterms:modified xsi:type="dcterms:W3CDTF">2019-02-04T13:10:00Z</dcterms:modified>
</cp:coreProperties>
</file>